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2"/>
          <w:szCs w:val="32"/>
        </w:rPr>
      </w:pPr>
      <w:r>
        <w:rPr>
          <w:rFonts w:hint="eastAsia" w:ascii="方正小标宋简体" w:eastAsia="方正小标宋简体"/>
          <w:sz w:val="32"/>
          <w:szCs w:val="32"/>
        </w:rPr>
        <w:t>山西师范大学博士后流动站招收简章</w:t>
      </w:r>
    </w:p>
    <w:p>
      <w:pPr>
        <w:keepNext w:val="0"/>
        <w:keepLines w:val="0"/>
        <w:pageBreakBefore w:val="0"/>
        <w:widowControl w:val="0"/>
        <w:kinsoku/>
        <w:wordWrap/>
        <w:overflowPunct/>
        <w:topLinePunct w:val="0"/>
        <w:autoSpaceDE/>
        <w:autoSpaceDN/>
        <w:bidi w:val="0"/>
        <w:adjustRightInd/>
        <w:snapToGrid/>
        <w:spacing w:before="157" w:beforeLines="50"/>
        <w:ind w:firstLine="560" w:firstLineChars="200"/>
        <w:textAlignment w:val="auto"/>
        <w:rPr>
          <w:rFonts w:ascii="宋体" w:hAnsi="宋体" w:eastAsia="宋体" w:cs="宋体"/>
          <w:kern w:val="0"/>
          <w:sz w:val="28"/>
          <w:szCs w:val="28"/>
        </w:rPr>
      </w:pPr>
      <w:r>
        <w:rPr>
          <w:rFonts w:hint="eastAsia" w:ascii="宋体" w:hAnsi="宋体" w:eastAsia="宋体" w:cs="宋体"/>
          <w:kern w:val="0"/>
          <w:sz w:val="28"/>
          <w:szCs w:val="28"/>
        </w:rPr>
        <w:t>山西师范大学创建于1958年，是国家中西部重点建设高校。学校所在的古尧都临汾市，是华夏文明的重要发祥地。浓郁的地方文化和教师教育、基础研究、服务区域发展构成了学校的四大办学特色。学校现有化学、戏剧与影视学2个博士后流动站。为促进我校博士后流动站的建设与发展，吸引和凝聚优秀人才，根</w:t>
      </w:r>
      <w:bookmarkStart w:id="0" w:name="_GoBack"/>
      <w:bookmarkEnd w:id="0"/>
      <w:r>
        <w:rPr>
          <w:rFonts w:hint="eastAsia" w:ascii="宋体" w:hAnsi="宋体" w:eastAsia="宋体" w:cs="宋体"/>
          <w:kern w:val="0"/>
          <w:sz w:val="28"/>
          <w:szCs w:val="28"/>
        </w:rPr>
        <w:t>据学科建设和科研需要，现将我校博士后研究人员招聘工作公告如下：</w:t>
      </w:r>
    </w:p>
    <w:p>
      <w:pPr>
        <w:widowControl/>
        <w:spacing w:before="100" w:beforeAutospacing="1" w:after="100" w:afterAutospacing="1" w:line="360" w:lineRule="auto"/>
        <w:jc w:val="left"/>
        <w:rPr>
          <w:rFonts w:ascii="宋体" w:hAnsi="宋体" w:eastAsia="宋体" w:cs="宋体"/>
          <w:b/>
          <w:kern w:val="0"/>
          <w:sz w:val="28"/>
          <w:szCs w:val="28"/>
        </w:rPr>
      </w:pPr>
      <w:r>
        <w:rPr>
          <w:rFonts w:hint="eastAsia" w:ascii="宋体" w:hAnsi="宋体" w:eastAsia="宋体" w:cs="宋体"/>
          <w:b/>
          <w:kern w:val="0"/>
          <w:sz w:val="28"/>
          <w:szCs w:val="28"/>
        </w:rPr>
        <w:t>一、设站学科与招收方向</w:t>
      </w:r>
    </w:p>
    <w:tbl>
      <w:tblPr>
        <w:tblStyle w:val="5"/>
        <w:tblW w:w="4898"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233"/>
        <w:gridCol w:w="4134"/>
        <w:gridCol w:w="221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301" w:type="pct"/>
            <w:tcBorders>
              <w:top w:val="outset" w:color="auto" w:sz="6" w:space="0"/>
              <w:left w:val="outset" w:color="auto" w:sz="6" w:space="0"/>
              <w:bottom w:val="outset" w:color="auto" w:sz="6" w:space="0"/>
              <w:right w:val="outset" w:color="auto" w:sz="6" w:space="0"/>
            </w:tcBorders>
            <w:vAlign w:val="center"/>
          </w:tcPr>
          <w:p>
            <w:pPr>
              <w:jc w:val="center"/>
              <w:rPr>
                <w:b/>
                <w:sz w:val="24"/>
              </w:rPr>
            </w:pPr>
            <w:r>
              <w:rPr>
                <w:b/>
                <w:sz w:val="24"/>
              </w:rPr>
              <w:t>流动站名称</w:t>
            </w: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b/>
                <w:sz w:val="24"/>
              </w:rPr>
            </w:pPr>
            <w:r>
              <w:rPr>
                <w:b/>
                <w:sz w:val="24"/>
              </w:rPr>
              <w:t>招收方向</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b/>
                <w:sz w:val="24"/>
              </w:rPr>
            </w:pPr>
            <w:r>
              <w:rPr>
                <w:b/>
                <w:sz w:val="24"/>
              </w:rPr>
              <w:t>合作导师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blCellSpacing w:w="0" w:type="dxa"/>
        </w:trPr>
        <w:tc>
          <w:tcPr>
            <w:tcW w:w="1301" w:type="pct"/>
            <w:vMerge w:val="restart"/>
            <w:tcBorders>
              <w:top w:val="outset" w:color="auto" w:sz="6" w:space="0"/>
              <w:left w:val="outset" w:color="auto" w:sz="6" w:space="0"/>
              <w:right w:val="outset" w:color="auto" w:sz="6" w:space="0"/>
            </w:tcBorders>
            <w:vAlign w:val="center"/>
          </w:tcPr>
          <w:p>
            <w:pPr>
              <w:jc w:val="center"/>
              <w:rPr>
                <w:sz w:val="24"/>
              </w:rPr>
            </w:pPr>
            <w:r>
              <w:rPr>
                <w:sz w:val="24"/>
              </w:rPr>
              <w:t>戏剧与</w:t>
            </w:r>
          </w:p>
          <w:p>
            <w:pPr>
              <w:jc w:val="center"/>
              <w:rPr>
                <w:sz w:val="24"/>
              </w:rPr>
            </w:pPr>
            <w:r>
              <w:rPr>
                <w:sz w:val="24"/>
              </w:rPr>
              <w:t>影视学</w:t>
            </w: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戏曲史</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车文明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7" w:hRule="atLeast"/>
          <w:tblCellSpacing w:w="0" w:type="dxa"/>
        </w:trPr>
        <w:tc>
          <w:tcPr>
            <w:tcW w:w="1301" w:type="pct"/>
            <w:vMerge w:val="continue"/>
            <w:tcBorders>
              <w:left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戏曲文物</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延保全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7" w:hRule="atLeast"/>
          <w:tblCellSpacing w:w="0" w:type="dxa"/>
        </w:trPr>
        <w:tc>
          <w:tcPr>
            <w:tcW w:w="1301" w:type="pct"/>
            <w:vMerge w:val="continue"/>
            <w:tcBorders>
              <w:left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影视理论与批评</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曹</w:t>
            </w:r>
            <w:r>
              <w:rPr>
                <w:rFonts w:hint="eastAsia"/>
                <w:sz w:val="24"/>
              </w:rPr>
              <w:t xml:space="preserve">  </w:t>
            </w:r>
            <w:r>
              <w:rPr>
                <w:sz w:val="24"/>
              </w:rPr>
              <w:t>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7" w:hRule="atLeast"/>
          <w:tblCellSpacing w:w="0" w:type="dxa"/>
        </w:trPr>
        <w:tc>
          <w:tcPr>
            <w:tcW w:w="1301" w:type="pct"/>
            <w:vMerge w:val="continue"/>
            <w:tcBorders>
              <w:left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民间戏剧</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姚春敏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7" w:hRule="atLeast"/>
          <w:tblCellSpacing w:w="0" w:type="dxa"/>
        </w:trPr>
        <w:tc>
          <w:tcPr>
            <w:tcW w:w="1301" w:type="pct"/>
            <w:vMerge w:val="continue"/>
            <w:tcBorders>
              <w:left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戏剧美学</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王志峰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7" w:hRule="atLeast"/>
          <w:tblCellSpacing w:w="0" w:type="dxa"/>
        </w:trPr>
        <w:tc>
          <w:tcPr>
            <w:tcW w:w="1301" w:type="pct"/>
            <w:vMerge w:val="continue"/>
            <w:tcBorders>
              <w:left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中外戏剧比较</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王建华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7" w:hRule="atLeast"/>
          <w:tblCellSpacing w:w="0" w:type="dxa"/>
        </w:trPr>
        <w:tc>
          <w:tcPr>
            <w:tcW w:w="1301" w:type="pct"/>
            <w:vMerge w:val="continue"/>
            <w:tcBorders>
              <w:left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艺术伦理学</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卫建国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8" w:hRule="atLeast"/>
          <w:tblCellSpacing w:w="0" w:type="dxa"/>
        </w:trPr>
        <w:tc>
          <w:tcPr>
            <w:tcW w:w="1301" w:type="pct"/>
            <w:vMerge w:val="continue"/>
            <w:tcBorders>
              <w:left w:val="outset" w:color="auto" w:sz="6" w:space="0"/>
              <w:bottom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艺术产业与管理</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sz w:val="24"/>
              </w:rPr>
              <w:t>薛耀文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8" w:hRule="atLeast"/>
          <w:tblCellSpacing w:w="0" w:type="dxa"/>
        </w:trPr>
        <w:tc>
          <w:tcPr>
            <w:tcW w:w="1301" w:type="pct"/>
            <w:vMerge w:val="restart"/>
            <w:tcBorders>
              <w:top w:val="single" w:color="auto" w:sz="4" w:space="0"/>
              <w:left w:val="outset" w:color="auto" w:sz="6" w:space="0"/>
              <w:right w:val="outset" w:color="auto" w:sz="6" w:space="0"/>
            </w:tcBorders>
            <w:vAlign w:val="center"/>
          </w:tcPr>
          <w:p>
            <w:pPr>
              <w:jc w:val="center"/>
              <w:rPr>
                <w:sz w:val="24"/>
              </w:rPr>
            </w:pPr>
            <w:r>
              <w:rPr>
                <w:rFonts w:hint="eastAsia"/>
                <w:sz w:val="24"/>
              </w:rPr>
              <w:t>化学</w:t>
            </w: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计算化学</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武海顺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8" w:hRule="atLeast"/>
          <w:tblCellSpacing w:w="0" w:type="dxa"/>
        </w:trPr>
        <w:tc>
          <w:tcPr>
            <w:tcW w:w="1301" w:type="pct"/>
            <w:vMerge w:val="continue"/>
            <w:tcBorders>
              <w:left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无机化学</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张献明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8" w:hRule="atLeast"/>
          <w:tblCellSpacing w:w="0" w:type="dxa"/>
        </w:trPr>
        <w:tc>
          <w:tcPr>
            <w:tcW w:w="1301" w:type="pct"/>
            <w:vMerge w:val="continue"/>
            <w:tcBorders>
              <w:left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材料化学</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许小红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8" w:hRule="atLeast"/>
          <w:tblCellSpacing w:w="0" w:type="dxa"/>
        </w:trPr>
        <w:tc>
          <w:tcPr>
            <w:tcW w:w="1301" w:type="pct"/>
            <w:vMerge w:val="continue"/>
            <w:tcBorders>
              <w:left w:val="outset" w:color="auto" w:sz="6" w:space="0"/>
              <w:bottom w:val="outset" w:color="auto" w:sz="6" w:space="0"/>
              <w:right w:val="outset" w:color="auto" w:sz="6" w:space="0"/>
            </w:tcBorders>
            <w:vAlign w:val="center"/>
          </w:tcPr>
          <w:p>
            <w:pPr>
              <w:jc w:val="center"/>
              <w:rPr>
                <w:sz w:val="24"/>
              </w:rPr>
            </w:pPr>
          </w:p>
        </w:tc>
        <w:tc>
          <w:tcPr>
            <w:tcW w:w="2409"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物理化学</w:t>
            </w:r>
          </w:p>
        </w:tc>
        <w:tc>
          <w:tcPr>
            <w:tcW w:w="1290" w:type="pct"/>
            <w:tcBorders>
              <w:top w:val="outset" w:color="auto" w:sz="6" w:space="0"/>
              <w:left w:val="outset" w:color="auto" w:sz="6" w:space="0"/>
              <w:bottom w:val="outset" w:color="auto" w:sz="6" w:space="0"/>
              <w:right w:val="outset" w:color="auto" w:sz="6" w:space="0"/>
            </w:tcBorders>
            <w:vAlign w:val="center"/>
          </w:tcPr>
          <w:p>
            <w:pPr>
              <w:jc w:val="center"/>
              <w:rPr>
                <w:sz w:val="24"/>
              </w:rPr>
            </w:pPr>
            <w:r>
              <w:rPr>
                <w:rFonts w:hint="eastAsia"/>
                <w:sz w:val="24"/>
              </w:rPr>
              <w:t>贾建峰</w:t>
            </w:r>
          </w:p>
        </w:tc>
      </w:tr>
    </w:tbl>
    <w:p>
      <w:pPr>
        <w:rPr>
          <w:rFonts w:asciiTheme="minorEastAsia" w:hAnsiTheme="minorEastAsia"/>
          <w:b/>
          <w:sz w:val="28"/>
          <w:szCs w:val="28"/>
        </w:rPr>
      </w:pPr>
      <w:r>
        <w:rPr>
          <w:rFonts w:hint="eastAsia" w:asciiTheme="minorEastAsia" w:hAnsiTheme="minorEastAsia"/>
          <w:b/>
          <w:sz w:val="28"/>
          <w:szCs w:val="28"/>
        </w:rPr>
        <w:t>二、招收条件</w:t>
      </w:r>
    </w:p>
    <w:p>
      <w:pPr>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w:t>
      </w:r>
      <w:r>
        <w:rPr>
          <w:rFonts w:asciiTheme="minorEastAsia" w:hAnsiTheme="minorEastAsia"/>
          <w:sz w:val="28"/>
          <w:szCs w:val="28"/>
        </w:rPr>
        <w:t>年龄</w:t>
      </w:r>
      <w:r>
        <w:rPr>
          <w:rFonts w:hint="eastAsia" w:asciiTheme="minorEastAsia" w:hAnsiTheme="minorEastAsia"/>
          <w:sz w:val="28"/>
          <w:szCs w:val="28"/>
        </w:rPr>
        <w:t>:一般在35岁以下；</w:t>
      </w:r>
      <w:r>
        <w:rPr>
          <w:rFonts w:asciiTheme="minorEastAsia" w:hAnsiTheme="minorEastAsia"/>
          <w:sz w:val="28"/>
          <w:szCs w:val="28"/>
        </w:rPr>
        <w:br w:type="textWrapping"/>
      </w:r>
      <w:r>
        <w:rPr>
          <w:rFonts w:asciiTheme="minorEastAsia" w:hAnsiTheme="minorEastAsia"/>
          <w:sz w:val="28"/>
          <w:szCs w:val="28"/>
        </w:rPr>
        <w:drawing>
          <wp:inline distT="0" distB="0" distL="0" distR="0">
            <wp:extent cx="6350" cy="6350"/>
            <wp:effectExtent l="0" t="0" r="0" b="0"/>
            <wp:docPr id="1" name="图片 1" descr="C:\Users\Administrator\AppData\Roaming\Tencent\QQ\Temp\8A0150FD927A43938C2C863EA1ACE7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8A0150FD927A43938C2C863EA1ACE7FC.gif"/>
                    <pic:cNvPicPr>
                      <a:picLocks noChangeAspect="1" noChangeArrowheads="1"/>
                    </pic:cNvPicPr>
                  </pic:nvPicPr>
                  <pic:blipFill>
                    <a:blip r:embed="rId4"/>
                    <a:srcRect/>
                    <a:stretch>
                      <a:fillRect/>
                    </a:stretch>
                  </pic:blipFill>
                  <pic:spPr>
                    <a:xfrm>
                      <a:off x="0" y="0"/>
                      <a:ext cx="6350" cy="6350"/>
                    </a:xfrm>
                    <a:prstGeom prst="rect">
                      <a:avLst/>
                    </a:prstGeom>
                    <a:noFill/>
                    <a:ln w="9525">
                      <a:noFill/>
                      <a:miter lim="800000"/>
                      <a:headEnd/>
                      <a:tailEnd/>
                    </a:ln>
                  </pic:spPr>
                </pic:pic>
              </a:graphicData>
            </a:graphic>
          </wp:inline>
        </w:drawing>
      </w:r>
      <w:r>
        <w:rPr>
          <w:rFonts w:hint="eastAsia" w:asciiTheme="minorEastAsia" w:hAnsiTheme="minorEastAsia"/>
          <w:sz w:val="28"/>
          <w:szCs w:val="28"/>
        </w:rPr>
        <w:tab/>
      </w:r>
      <w:r>
        <w:rPr>
          <w:rFonts w:hint="eastAsia" w:asciiTheme="minorEastAsia" w:hAnsiTheme="minorEastAsia"/>
          <w:sz w:val="28"/>
          <w:szCs w:val="28"/>
        </w:rPr>
        <w:t xml:space="preserve"> </w:t>
      </w:r>
      <w:r>
        <w:rPr>
          <w:rFonts w:asciiTheme="minorEastAsia" w:hAnsiTheme="minorEastAsia"/>
          <w:sz w:val="28"/>
          <w:szCs w:val="28"/>
        </w:rPr>
        <w:t>2</w:t>
      </w:r>
      <w:r>
        <w:rPr>
          <w:rFonts w:hint="eastAsia" w:asciiTheme="minorEastAsia" w:hAnsiTheme="minorEastAsia"/>
          <w:sz w:val="28"/>
          <w:szCs w:val="28"/>
        </w:rPr>
        <w:t>.</w:t>
      </w:r>
      <w:r>
        <w:rPr>
          <w:rFonts w:asciiTheme="minorEastAsia" w:hAnsiTheme="minorEastAsia"/>
          <w:sz w:val="28"/>
          <w:szCs w:val="28"/>
        </w:rPr>
        <w:t>获得博士学位，且获学位时间一般不超过3年，品学兼优，身体健康；</w:t>
      </w:r>
    </w:p>
    <w:p>
      <w:pPr>
        <w:ind w:firstLine="560" w:firstLineChars="2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具有扎实的专业素养，有志于从事该学科教学和研究工作，发表过高质量的学术论文</w:t>
      </w:r>
      <w:r>
        <w:rPr>
          <w:rFonts w:hint="eastAsia" w:asciiTheme="minorEastAsia" w:hAnsiTheme="minorEastAsia"/>
          <w:sz w:val="28"/>
          <w:szCs w:val="28"/>
        </w:rPr>
        <w:t>；</w:t>
      </w:r>
      <w:r>
        <w:rPr>
          <w:rFonts w:asciiTheme="minorEastAsia" w:hAnsiTheme="minorEastAsia"/>
          <w:sz w:val="28"/>
          <w:szCs w:val="28"/>
        </w:rPr>
        <w:t xml:space="preserve"> </w:t>
      </w:r>
    </w:p>
    <w:p>
      <w:pPr>
        <w:ind w:firstLine="560" w:firstLineChars="200"/>
        <w:rPr>
          <w:rFonts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能够专心从事博士后研究工作</w:t>
      </w:r>
      <w:r>
        <w:rPr>
          <w:rFonts w:hint="eastAsia" w:asciiTheme="minorEastAsia" w:hAnsiTheme="minorEastAsia"/>
          <w:sz w:val="28"/>
          <w:szCs w:val="28"/>
        </w:rPr>
        <w:t>；</w:t>
      </w:r>
      <w:r>
        <w:rPr>
          <w:rFonts w:asciiTheme="minorEastAsia" w:hAnsiTheme="minorEastAsia"/>
          <w:sz w:val="28"/>
          <w:szCs w:val="28"/>
        </w:rPr>
        <w:t xml:space="preserve"> </w:t>
      </w:r>
    </w:p>
    <w:p>
      <w:pPr>
        <w:ind w:firstLine="560" w:firstLineChars="200"/>
        <w:rPr>
          <w:rFonts w:asciiTheme="minorEastAsia" w:hAnsiTheme="minorEastAsia"/>
          <w:sz w:val="28"/>
          <w:szCs w:val="28"/>
        </w:rPr>
      </w:pPr>
      <w:r>
        <w:rPr>
          <w:rFonts w:hint="eastAsia" w:asciiTheme="minorEastAsia" w:hAnsiTheme="minorEastAsia"/>
          <w:sz w:val="28"/>
          <w:szCs w:val="28"/>
        </w:rPr>
        <w:t>5.</w:t>
      </w:r>
      <w:r>
        <w:rPr>
          <w:rFonts w:asciiTheme="minorEastAsia" w:hAnsiTheme="minorEastAsia"/>
          <w:sz w:val="28"/>
          <w:szCs w:val="28"/>
        </w:rPr>
        <w:t>艺术学、中国古代文学、历史学以及民俗学、建筑学专业博士毕业生符合报名条件者均可提出申请</w:t>
      </w:r>
      <w:r>
        <w:rPr>
          <w:rFonts w:hint="eastAsia" w:asciiTheme="minorEastAsia" w:hAnsiTheme="minorEastAsia"/>
          <w:sz w:val="28"/>
          <w:szCs w:val="28"/>
        </w:rPr>
        <w:t>进入戏剧与影视学博士后流动站</w:t>
      </w:r>
      <w:r>
        <w:rPr>
          <w:rFonts w:asciiTheme="minorEastAsia" w:hAnsiTheme="minorEastAsia"/>
          <w:sz w:val="28"/>
          <w:szCs w:val="28"/>
        </w:rPr>
        <w:t>，影视专业优先</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6.化学与材料</w:t>
      </w:r>
      <w:r>
        <w:rPr>
          <w:rFonts w:asciiTheme="minorEastAsia" w:hAnsiTheme="minorEastAsia"/>
          <w:sz w:val="28"/>
          <w:szCs w:val="28"/>
        </w:rPr>
        <w:t>专业博士毕业生符合报名条件者均可申请</w:t>
      </w:r>
      <w:r>
        <w:rPr>
          <w:rFonts w:hint="eastAsia" w:asciiTheme="minorEastAsia" w:hAnsiTheme="minorEastAsia"/>
          <w:sz w:val="28"/>
          <w:szCs w:val="28"/>
        </w:rPr>
        <w:t>进入化学博士后流动站</w:t>
      </w:r>
      <w:r>
        <w:rPr>
          <w:rFonts w:asciiTheme="minorEastAsia" w:hAnsiTheme="minorEastAsia"/>
          <w:sz w:val="28"/>
          <w:szCs w:val="28"/>
        </w:rPr>
        <w:t>。</w:t>
      </w:r>
    </w:p>
    <w:p>
      <w:pPr>
        <w:rPr>
          <w:rFonts w:asciiTheme="minorEastAsia" w:hAnsiTheme="minorEastAsia"/>
          <w:b/>
          <w:sz w:val="28"/>
          <w:szCs w:val="28"/>
        </w:rPr>
      </w:pPr>
      <w:r>
        <w:rPr>
          <w:rFonts w:hint="eastAsia" w:asciiTheme="minorEastAsia" w:hAnsiTheme="minorEastAsia"/>
          <w:b/>
          <w:sz w:val="28"/>
          <w:szCs w:val="28"/>
        </w:rPr>
        <w:t>三、薪酬待遇</w:t>
      </w:r>
    </w:p>
    <w:p>
      <w:pPr>
        <w:ind w:firstLine="560" w:firstLineChars="200"/>
        <w:rPr>
          <w:sz w:val="28"/>
          <w:szCs w:val="28"/>
        </w:rPr>
      </w:pPr>
      <w:r>
        <w:rPr>
          <w:rFonts w:hint="eastAsia"/>
          <w:sz w:val="28"/>
          <w:szCs w:val="28"/>
        </w:rPr>
        <w:t>1.薪资：学校为博士后研究人员提供20万元/年综合年薪(税前金额，含工资、绩效、住房补贴、社保等)。以在站期两年计发，每年总额的70％按月发放，30％在出站考核合格后发放；</w:t>
      </w:r>
    </w:p>
    <w:p>
      <w:pPr>
        <w:ind w:firstLine="560" w:firstLineChars="200"/>
        <w:rPr>
          <w:sz w:val="28"/>
          <w:szCs w:val="28"/>
        </w:rPr>
      </w:pPr>
      <w:r>
        <w:rPr>
          <w:rFonts w:hint="eastAsia"/>
          <w:sz w:val="28"/>
          <w:szCs w:val="28"/>
        </w:rPr>
        <w:t>2.住房：学校为博士后研究人员提供周转住房，可按照学校相关管理办法申请租住；</w:t>
      </w:r>
    </w:p>
    <w:p>
      <w:pPr>
        <w:ind w:firstLine="560" w:firstLineChars="200"/>
        <w:rPr>
          <w:rFonts w:ascii="Calibri" w:hAnsi="Calibri" w:eastAsia="宋体" w:cs="Times New Roman"/>
          <w:sz w:val="28"/>
          <w:szCs w:val="28"/>
        </w:rPr>
      </w:pPr>
      <w:r>
        <w:rPr>
          <w:rFonts w:hint="eastAsia"/>
          <w:sz w:val="28"/>
          <w:szCs w:val="28"/>
        </w:rPr>
        <w:t>3.奖励：博士后研究人员在站期间取得的科研成果</w:t>
      </w:r>
      <w:r>
        <w:rPr>
          <w:rFonts w:hint="eastAsia" w:ascii="Calibri" w:hAnsi="Calibri" w:eastAsia="宋体" w:cs="Times New Roman"/>
          <w:sz w:val="28"/>
          <w:szCs w:val="28"/>
        </w:rPr>
        <w:t>享受学校职工同等的科研奖励政策；</w:t>
      </w:r>
    </w:p>
    <w:p>
      <w:pPr>
        <w:ind w:firstLine="560" w:firstLineChars="200"/>
        <w:rPr>
          <w:sz w:val="28"/>
          <w:szCs w:val="28"/>
        </w:rPr>
      </w:pPr>
      <w:r>
        <w:rPr>
          <w:rFonts w:hint="eastAsia"/>
          <w:sz w:val="28"/>
          <w:szCs w:val="28"/>
        </w:rPr>
        <w:t>4.学校为博士后研究人员办理落户手续，协助办理配偶及未成年子女随迁入户手续；协助办理子女入托、入学等事宜；</w:t>
      </w:r>
    </w:p>
    <w:p>
      <w:pPr>
        <w:ind w:firstLine="560" w:firstLineChars="200"/>
        <w:rPr>
          <w:sz w:val="28"/>
          <w:szCs w:val="28"/>
        </w:rPr>
      </w:pPr>
      <w:r>
        <w:rPr>
          <w:rFonts w:hint="eastAsia"/>
          <w:sz w:val="28"/>
          <w:szCs w:val="28"/>
        </w:rPr>
        <w:t>5.博士后研究人员出站考核优秀者，符合学校招聘政策可申请转为教师，纳入学校事业编制，并享受山西省和学校当年人才引进待遇，博士后研究人员在站期间取得的成果可同时作为人才引进待遇评定和职称评定的依据。</w:t>
      </w:r>
    </w:p>
    <w:p>
      <w:pPr>
        <w:rPr>
          <w:rFonts w:asciiTheme="minorEastAsia" w:hAnsiTheme="minorEastAsia"/>
          <w:b/>
          <w:sz w:val="28"/>
          <w:szCs w:val="28"/>
        </w:rPr>
      </w:pPr>
      <w:r>
        <w:rPr>
          <w:rFonts w:hint="eastAsia" w:asciiTheme="minorEastAsia" w:hAnsiTheme="minorEastAsia"/>
          <w:b/>
          <w:sz w:val="28"/>
          <w:szCs w:val="28"/>
        </w:rPr>
        <w:t>四、提供相关材料</w:t>
      </w:r>
    </w:p>
    <w:p>
      <w:pPr>
        <w:ind w:firstLine="560" w:firstLineChars="200"/>
        <w:rPr>
          <w:rFonts w:ascii="宋体" w:hAnsi="宋体"/>
          <w:color w:val="000000"/>
          <w:sz w:val="28"/>
          <w:szCs w:val="28"/>
        </w:rPr>
      </w:pPr>
      <w:r>
        <w:rPr>
          <w:rFonts w:hint="eastAsia" w:ascii="宋体" w:hAnsi="宋体"/>
          <w:color w:val="000000"/>
          <w:sz w:val="28"/>
          <w:szCs w:val="28"/>
        </w:rPr>
        <w:t>1.</w:t>
      </w:r>
      <w:r>
        <w:rPr>
          <w:rFonts w:ascii="宋体" w:hAnsi="宋体"/>
          <w:color w:val="000000"/>
          <w:sz w:val="28"/>
          <w:szCs w:val="28"/>
        </w:rPr>
        <w:t>个人简历（包括学习经历、社会实践经历、已发表论文清单</w:t>
      </w:r>
      <w:r>
        <w:rPr>
          <w:rFonts w:hint="eastAsia" w:ascii="宋体" w:hAnsi="宋体"/>
          <w:color w:val="000000"/>
          <w:sz w:val="28"/>
          <w:szCs w:val="28"/>
        </w:rPr>
        <w:t>）；</w:t>
      </w:r>
    </w:p>
    <w:p>
      <w:pPr>
        <w:ind w:left="420" w:leftChars="200" w:firstLine="140" w:firstLineChars="50"/>
        <w:jc w:val="left"/>
        <w:rPr>
          <w:rFonts w:ascii="宋体" w:hAnsi="宋体"/>
          <w:color w:val="000000"/>
          <w:sz w:val="28"/>
          <w:szCs w:val="28"/>
        </w:rPr>
      </w:pPr>
      <w:r>
        <w:rPr>
          <w:rFonts w:hint="eastAsia" w:ascii="宋体" w:hAnsi="宋体"/>
          <w:color w:val="000000"/>
          <w:sz w:val="28"/>
          <w:szCs w:val="28"/>
        </w:rPr>
        <w:t>2.</w:t>
      </w:r>
      <w:r>
        <w:rPr>
          <w:rFonts w:ascii="宋体" w:hAnsi="宋体"/>
          <w:color w:val="000000"/>
          <w:sz w:val="28"/>
          <w:szCs w:val="28"/>
        </w:rPr>
        <w:t>学历、学位证书及身份证复印件；</w:t>
      </w:r>
    </w:p>
    <w:p>
      <w:pPr>
        <w:ind w:firstLine="560" w:firstLineChars="200"/>
        <w:jc w:val="left"/>
        <w:rPr>
          <w:rFonts w:ascii="宋体" w:hAnsi="宋体"/>
          <w:color w:val="000000"/>
          <w:sz w:val="28"/>
          <w:szCs w:val="28"/>
        </w:rPr>
      </w:pPr>
      <w:r>
        <w:rPr>
          <w:rFonts w:hint="eastAsia" w:ascii="宋体" w:hAnsi="宋体"/>
          <w:color w:val="000000"/>
          <w:sz w:val="28"/>
          <w:szCs w:val="28"/>
        </w:rPr>
        <w:t>3.</w:t>
      </w:r>
      <w:r>
        <w:rPr>
          <w:rFonts w:ascii="宋体" w:hAnsi="宋体"/>
          <w:color w:val="000000"/>
          <w:sz w:val="28"/>
          <w:szCs w:val="28"/>
        </w:rPr>
        <w:t>能够证明本人能力、水平的文件和材料(如成绩单、发表文章、获奖证书复印件等)。</w:t>
      </w:r>
    </w:p>
    <w:p>
      <w:pPr>
        <w:rPr>
          <w:rFonts w:asciiTheme="minorEastAsia" w:hAnsiTheme="minorEastAsia"/>
          <w:b/>
          <w:sz w:val="28"/>
          <w:szCs w:val="28"/>
        </w:rPr>
      </w:pPr>
      <w:r>
        <w:rPr>
          <w:rFonts w:hint="eastAsia" w:asciiTheme="minorEastAsia" w:hAnsiTheme="minorEastAsia"/>
          <w:b/>
          <w:sz w:val="28"/>
          <w:szCs w:val="28"/>
        </w:rPr>
        <w:t>五、联系方式</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学校管理部门：山西师范大学人事处博士后工作办公室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地址：山西省临汾市尧都区贡院街1号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邮编：041004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联系人：张老师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联系电话：0357-2051610 </w:t>
      </w:r>
    </w:p>
    <w:p>
      <w:pPr>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880" w:firstLineChars="2100"/>
        <w:rPr>
          <w:rFonts w:asciiTheme="minorEastAsia" w:hAnsiTheme="minorEastAsia"/>
          <w:sz w:val="28"/>
          <w:szCs w:val="28"/>
        </w:rPr>
      </w:pPr>
      <w:r>
        <w:rPr>
          <w:rFonts w:hint="eastAsia" w:asciiTheme="minorEastAsia" w:hAnsiTheme="minorEastAsia"/>
          <w:sz w:val="28"/>
          <w:szCs w:val="28"/>
        </w:rPr>
        <w:t xml:space="preserve">山西师范大学人事处 </w:t>
      </w:r>
    </w:p>
    <w:p>
      <w:pPr>
        <w:ind w:firstLine="6020" w:firstLineChars="2150"/>
        <w:rPr>
          <w:rFonts w:asciiTheme="minorEastAsia" w:hAnsiTheme="minorEastAsia"/>
          <w:sz w:val="28"/>
          <w:szCs w:val="28"/>
        </w:rPr>
      </w:pPr>
      <w:r>
        <w:rPr>
          <w:rFonts w:hint="eastAsia" w:asciiTheme="minorEastAsia" w:hAnsiTheme="minorEastAsia"/>
          <w:sz w:val="28"/>
          <w:szCs w:val="28"/>
        </w:rPr>
        <w:t xml:space="preserve">2019年6月15日 </w:t>
      </w:r>
    </w:p>
    <w:p>
      <w:pPr>
        <w:widowControl/>
        <w:jc w:val="left"/>
        <w:rPr>
          <w:rFonts w:ascii="宋体" w:hAnsi="宋体" w:eastAsia="宋体" w:cs="宋体"/>
          <w:kern w:val="0"/>
          <w:sz w:val="18"/>
          <w:szCs w:val="18"/>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7515"/>
    <w:rsid w:val="00060948"/>
    <w:rsid w:val="00064F42"/>
    <w:rsid w:val="000B3C77"/>
    <w:rsid w:val="001C34E4"/>
    <w:rsid w:val="001E5951"/>
    <w:rsid w:val="0023764D"/>
    <w:rsid w:val="002819A7"/>
    <w:rsid w:val="003252CF"/>
    <w:rsid w:val="0032621B"/>
    <w:rsid w:val="003F2B7D"/>
    <w:rsid w:val="004B278B"/>
    <w:rsid w:val="0051613C"/>
    <w:rsid w:val="00576D60"/>
    <w:rsid w:val="00581507"/>
    <w:rsid w:val="005E6CB6"/>
    <w:rsid w:val="00623759"/>
    <w:rsid w:val="00647463"/>
    <w:rsid w:val="006558A5"/>
    <w:rsid w:val="00663AE4"/>
    <w:rsid w:val="00691974"/>
    <w:rsid w:val="006A2ED6"/>
    <w:rsid w:val="007A6E72"/>
    <w:rsid w:val="007E2690"/>
    <w:rsid w:val="007F44E3"/>
    <w:rsid w:val="00894AFA"/>
    <w:rsid w:val="00897515"/>
    <w:rsid w:val="008C57B2"/>
    <w:rsid w:val="008C67A7"/>
    <w:rsid w:val="008C74AF"/>
    <w:rsid w:val="008E79AD"/>
    <w:rsid w:val="0097240F"/>
    <w:rsid w:val="009956A3"/>
    <w:rsid w:val="009A11E0"/>
    <w:rsid w:val="009A324E"/>
    <w:rsid w:val="009F5C29"/>
    <w:rsid w:val="00C54CE1"/>
    <w:rsid w:val="00C81227"/>
    <w:rsid w:val="00CA7CEE"/>
    <w:rsid w:val="00DB55D6"/>
    <w:rsid w:val="00ED2752"/>
    <w:rsid w:val="00F03D36"/>
    <w:rsid w:val="00F44494"/>
    <w:rsid w:val="00FC1D76"/>
    <w:rsid w:val="00FF5BE1"/>
    <w:rsid w:val="40A76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66CC"/>
      <w:u w:val="none"/>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BC89F-556F-4981-9044-CA5A3F95DEA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978</Characters>
  <Lines>8</Lines>
  <Paragraphs>2</Paragraphs>
  <TotalTime>171</TotalTime>
  <ScaleCrop>false</ScaleCrop>
  <LinksUpToDate>false</LinksUpToDate>
  <CharactersWithSpaces>1147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2018-01-25T07:42:00Z</dcterms:created>
  <dc:creator>admin</dc:creator>
  <cp:lastModifiedBy>小西</cp:lastModifiedBy>
  <cp:lastPrinted>2019-06-18T07:46:00Z</cp:lastPrinted>
  <dcterms:modified xsi:type="dcterms:W3CDTF">2019-12-16T01:27:06Z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