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2"/>
          <w:szCs w:val="32"/>
          <w:lang w:val="en-US" w:eastAsia="zh-CN"/>
        </w:rPr>
      </w:pPr>
      <w:r>
        <w:rPr>
          <w:rFonts w:hint="eastAsia" w:ascii="方正小标宋简体" w:eastAsia="方正小标宋简体"/>
          <w:sz w:val="32"/>
          <w:szCs w:val="32"/>
        </w:rPr>
        <w:t>山西师范大学博士后流动站</w:t>
      </w:r>
      <w:r>
        <w:rPr>
          <w:rFonts w:hint="eastAsia" w:ascii="方正小标宋简体" w:eastAsia="方正小标宋简体"/>
          <w:sz w:val="32"/>
          <w:szCs w:val="32"/>
          <w:lang w:val="en-US" w:eastAsia="zh-CN"/>
        </w:rPr>
        <w:t>招收简章</w:t>
      </w:r>
    </w:p>
    <w:p>
      <w:pPr>
        <w:keepNext w:val="0"/>
        <w:keepLines w:val="0"/>
        <w:pageBreakBefore w:val="0"/>
        <w:widowControl w:val="0"/>
        <w:kinsoku/>
        <w:wordWrap/>
        <w:overflowPunct/>
        <w:topLinePunct w:val="0"/>
        <w:autoSpaceDE/>
        <w:autoSpaceDN/>
        <w:bidi w:val="0"/>
        <w:adjustRightInd/>
        <w:snapToGrid/>
        <w:spacing w:before="157" w:beforeLines="50"/>
        <w:ind w:firstLine="560" w:firstLineChars="200"/>
        <w:textAlignment w:val="auto"/>
        <w:rPr>
          <w:rFonts w:ascii="宋体" w:hAnsi="宋体" w:eastAsia="宋体" w:cs="宋体"/>
          <w:kern w:val="0"/>
          <w:sz w:val="28"/>
          <w:szCs w:val="28"/>
        </w:rPr>
      </w:pPr>
      <w:r>
        <w:rPr>
          <w:rFonts w:hint="eastAsia" w:ascii="宋体" w:hAnsi="宋体" w:eastAsia="宋体" w:cs="宋体"/>
          <w:kern w:val="0"/>
          <w:sz w:val="28"/>
          <w:szCs w:val="28"/>
        </w:rPr>
        <w:t>山西师范大学创建于1958年，是国家中西部重点建设高校。学校所在的古尧都临汾市，是华夏文明的重要发祥地。浓郁的地方文化和教师教育、基础研究、服务区域发展构成了学校的四大办学特色。学校现有化学、戏剧与影视学2个博士后流动站。为促进我校博士后流动站的建设与发展，吸引和凝聚优秀人才，根据学科建设和科研需要，现将我校博士后研究人员招聘工作公告如下：</w:t>
      </w:r>
    </w:p>
    <w:p>
      <w:pPr>
        <w:widowControl/>
        <w:spacing w:before="100" w:beforeAutospacing="1" w:after="100" w:afterAutospacing="1" w:line="360" w:lineRule="auto"/>
        <w:jc w:val="left"/>
        <w:rPr>
          <w:rFonts w:ascii="宋体" w:hAnsi="宋体" w:eastAsia="宋体" w:cs="宋体"/>
          <w:b/>
          <w:kern w:val="0"/>
          <w:sz w:val="28"/>
          <w:szCs w:val="28"/>
        </w:rPr>
      </w:pPr>
      <w:r>
        <w:rPr>
          <w:rFonts w:hint="eastAsia" w:ascii="宋体" w:hAnsi="宋体" w:eastAsia="宋体" w:cs="宋体"/>
          <w:b/>
          <w:kern w:val="0"/>
          <w:sz w:val="28"/>
          <w:szCs w:val="28"/>
        </w:rPr>
        <w:t>一、设站学科与招收方向</w:t>
      </w:r>
    </w:p>
    <w:tbl>
      <w:tblPr>
        <w:tblStyle w:val="6"/>
        <w:tblW w:w="4898"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233"/>
        <w:gridCol w:w="4134"/>
        <w:gridCol w:w="22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301" w:type="pct"/>
            <w:tcBorders>
              <w:top w:val="outset" w:color="auto" w:sz="6" w:space="0"/>
              <w:left w:val="outset" w:color="auto" w:sz="6" w:space="0"/>
              <w:bottom w:val="outset" w:color="auto" w:sz="6" w:space="0"/>
              <w:right w:val="outset" w:color="auto" w:sz="6" w:space="0"/>
            </w:tcBorders>
            <w:vAlign w:val="center"/>
          </w:tcPr>
          <w:p>
            <w:pPr>
              <w:jc w:val="center"/>
              <w:rPr>
                <w:b/>
                <w:sz w:val="24"/>
              </w:rPr>
            </w:pPr>
            <w:r>
              <w:rPr>
                <w:b/>
                <w:sz w:val="24"/>
              </w:rPr>
              <w:t>流动站名称</w:t>
            </w: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b/>
                <w:sz w:val="24"/>
              </w:rPr>
            </w:pPr>
            <w:r>
              <w:rPr>
                <w:b/>
                <w:sz w:val="24"/>
              </w:rPr>
              <w:t>招收方向</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b/>
                <w:sz w:val="24"/>
              </w:rPr>
            </w:pPr>
            <w:r>
              <w:rPr>
                <w:b/>
                <w:sz w:val="24"/>
              </w:rPr>
              <w:t>合作导师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trPr>
        <w:tc>
          <w:tcPr>
            <w:tcW w:w="1301" w:type="pct"/>
            <w:vMerge w:val="restart"/>
            <w:tcBorders>
              <w:top w:val="outset" w:color="auto" w:sz="6" w:space="0"/>
              <w:left w:val="outset" w:color="auto" w:sz="6" w:space="0"/>
              <w:right w:val="outset" w:color="auto" w:sz="6" w:space="0"/>
            </w:tcBorders>
            <w:vAlign w:val="center"/>
          </w:tcPr>
          <w:p>
            <w:pPr>
              <w:jc w:val="center"/>
              <w:rPr>
                <w:sz w:val="24"/>
              </w:rPr>
            </w:pPr>
            <w:r>
              <w:rPr>
                <w:sz w:val="24"/>
              </w:rPr>
              <w:t>戏剧与</w:t>
            </w:r>
          </w:p>
          <w:p>
            <w:pPr>
              <w:jc w:val="center"/>
              <w:rPr>
                <w:sz w:val="24"/>
              </w:rPr>
            </w:pPr>
            <w:r>
              <w:rPr>
                <w:sz w:val="24"/>
              </w:rPr>
              <w:t>影视学</w:t>
            </w: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戏曲史</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车文明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戏曲文物</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延保全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影视理论与批评</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曹</w:t>
            </w:r>
            <w:r>
              <w:rPr>
                <w:rFonts w:hint="eastAsia"/>
                <w:sz w:val="24"/>
              </w:rPr>
              <w:t xml:space="preserve">  </w:t>
            </w:r>
            <w:r>
              <w:rPr>
                <w:sz w:val="24"/>
              </w:rPr>
              <w:t>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民间戏剧</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姚春敏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戏剧美学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王志峰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中外戏剧比较</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王建华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艺术伦理学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卫建国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continue"/>
            <w:tcBorders>
              <w:left w:val="outset" w:color="auto" w:sz="6" w:space="0"/>
              <w:bottom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艺术产业与管理</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薛耀文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restart"/>
            <w:tcBorders>
              <w:top w:val="single" w:color="auto" w:sz="4" w:space="0"/>
              <w:left w:val="outset" w:color="auto" w:sz="6" w:space="0"/>
              <w:right w:val="outset" w:color="auto" w:sz="6" w:space="0"/>
            </w:tcBorders>
            <w:vAlign w:val="center"/>
          </w:tcPr>
          <w:p>
            <w:pPr>
              <w:jc w:val="center"/>
              <w:rPr>
                <w:sz w:val="24"/>
              </w:rPr>
            </w:pPr>
            <w:r>
              <w:rPr>
                <w:rFonts w:hint="eastAsia"/>
                <w:sz w:val="24"/>
              </w:rPr>
              <w:t>化学</w:t>
            </w: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计算化学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武海顺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无机化学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张献明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材料化学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许小红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continue"/>
            <w:tcBorders>
              <w:left w:val="outset" w:color="auto" w:sz="6" w:space="0"/>
              <w:bottom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物理化学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贾建峰</w:t>
            </w:r>
          </w:p>
        </w:tc>
      </w:tr>
    </w:tbl>
    <w:p>
      <w:pPr>
        <w:rPr>
          <w:rFonts w:asciiTheme="minorEastAsia" w:hAnsiTheme="minorEastAsia"/>
          <w:b/>
          <w:sz w:val="28"/>
          <w:szCs w:val="28"/>
        </w:rPr>
      </w:pPr>
      <w:r>
        <w:rPr>
          <w:rFonts w:hint="eastAsia" w:asciiTheme="minorEastAsia" w:hAnsiTheme="minorEastAsia"/>
          <w:b/>
          <w:sz w:val="28"/>
          <w:szCs w:val="28"/>
        </w:rPr>
        <w:t>二、招收条件</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w:t>
      </w:r>
      <w:r>
        <w:rPr>
          <w:rFonts w:asciiTheme="minorEastAsia" w:hAnsiTheme="minorEastAsia"/>
          <w:sz w:val="28"/>
          <w:szCs w:val="28"/>
        </w:rPr>
        <w:t>年龄</w:t>
      </w:r>
      <w:r>
        <w:rPr>
          <w:rFonts w:hint="eastAsia" w:asciiTheme="minorEastAsia" w:hAnsiTheme="minorEastAsia"/>
          <w:sz w:val="28"/>
          <w:szCs w:val="28"/>
        </w:rPr>
        <w:t>:一般在35岁以下；</w:t>
      </w:r>
      <w:r>
        <w:rPr>
          <w:rFonts w:asciiTheme="minorEastAsia" w:hAnsiTheme="minorEastAsia"/>
          <w:sz w:val="28"/>
          <w:szCs w:val="28"/>
        </w:rPr>
        <w:br w:type="textWrapping"/>
      </w:r>
      <w:r>
        <w:rPr>
          <w:rFonts w:asciiTheme="minorEastAsia" w:hAnsiTheme="minorEastAsia"/>
          <w:sz w:val="28"/>
          <w:szCs w:val="28"/>
        </w:rPr>
        <w:drawing>
          <wp:inline distT="0" distB="0" distL="0" distR="0">
            <wp:extent cx="6350" cy="6350"/>
            <wp:effectExtent l="0" t="0" r="0" b="0"/>
            <wp:docPr id="1" name="图片 1" descr="C:\Users\Administrator\AppData\Roaming\Tencent\QQ\Temp\8A0150FD927A43938C2C863EA1ACE7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8A0150FD927A43938C2C863EA1ACE7FC.gif"/>
                    <pic:cNvPicPr>
                      <a:picLocks noChangeAspect="1" noChangeArrowheads="1"/>
                    </pic:cNvPicPr>
                  </pic:nvPicPr>
                  <pic:blipFill>
                    <a:blip r:embed="rId4"/>
                    <a:srcRect/>
                    <a:stretch>
                      <a:fillRect/>
                    </a:stretch>
                  </pic:blipFill>
                  <pic:spPr>
                    <a:xfrm>
                      <a:off x="0" y="0"/>
                      <a:ext cx="6350" cy="6350"/>
                    </a:xfrm>
                    <a:prstGeom prst="rect">
                      <a:avLst/>
                    </a:prstGeom>
                    <a:noFill/>
                    <a:ln w="9525">
                      <a:noFill/>
                      <a:miter lim="800000"/>
                      <a:headEnd/>
                      <a:tailEnd/>
                    </a:ln>
                  </pic:spPr>
                </pic:pic>
              </a:graphicData>
            </a:graphic>
          </wp:inline>
        </w:drawing>
      </w:r>
      <w:r>
        <w:rPr>
          <w:rFonts w:hint="eastAsia" w:asciiTheme="minorEastAsia" w:hAnsiTheme="minorEastAsia"/>
          <w:sz w:val="28"/>
          <w:szCs w:val="28"/>
        </w:rPr>
        <w:tab/>
      </w:r>
      <w:r>
        <w:rPr>
          <w:rFonts w:hint="eastAsia" w:asciiTheme="minorEastAsia" w:hAnsiTheme="minorEastAsia"/>
          <w:sz w:val="28"/>
          <w:szCs w:val="28"/>
        </w:rPr>
        <w:t xml:space="preserve"> </w:t>
      </w: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获得博士学位，且获学位时间一般不超过3年，品学兼优，身体健康；</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具有扎实的专业素养，有志于从事该学科教学和研究工作，发表过高质量的学术论文</w:t>
      </w:r>
      <w:r>
        <w:rPr>
          <w:rFonts w:hint="eastAsia" w:asciiTheme="minorEastAsia" w:hAnsiTheme="minorEastAsia"/>
          <w:sz w:val="28"/>
          <w:szCs w:val="28"/>
        </w:rPr>
        <w:t>；</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能够专心从事博士后研究工作</w:t>
      </w:r>
      <w:r>
        <w:rPr>
          <w:rFonts w:hint="eastAsia" w:asciiTheme="minorEastAsia" w:hAnsiTheme="minorEastAsia"/>
          <w:sz w:val="28"/>
          <w:szCs w:val="28"/>
        </w:rPr>
        <w:t>；</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艺术学、中国古代文学、历史学以及民俗学、建筑学专业博士毕业生符合报名条件者均可提出申请</w:t>
      </w:r>
      <w:r>
        <w:rPr>
          <w:rFonts w:hint="eastAsia" w:asciiTheme="minorEastAsia" w:hAnsiTheme="minorEastAsia"/>
          <w:sz w:val="28"/>
          <w:szCs w:val="28"/>
        </w:rPr>
        <w:t>进入戏剧与影视学博士后流动站</w:t>
      </w:r>
      <w:r>
        <w:rPr>
          <w:rFonts w:asciiTheme="minorEastAsia" w:hAnsiTheme="minorEastAsia"/>
          <w:sz w:val="28"/>
          <w:szCs w:val="28"/>
        </w:rPr>
        <w:t>，影视专业优先</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6.化学与材料</w:t>
      </w:r>
      <w:r>
        <w:rPr>
          <w:rFonts w:asciiTheme="minorEastAsia" w:hAnsiTheme="minorEastAsia"/>
          <w:sz w:val="28"/>
          <w:szCs w:val="28"/>
        </w:rPr>
        <w:t>专业博士毕业生符合报名条件者均可申请</w:t>
      </w:r>
      <w:r>
        <w:rPr>
          <w:rFonts w:hint="eastAsia" w:asciiTheme="minorEastAsia" w:hAnsiTheme="minorEastAsia"/>
          <w:sz w:val="28"/>
          <w:szCs w:val="28"/>
        </w:rPr>
        <w:t>进入化学博士后流动站</w:t>
      </w:r>
      <w:r>
        <w:rPr>
          <w:rFonts w:asciiTheme="minorEastAsia" w:hAnsiTheme="minorEastAsia"/>
          <w:sz w:val="28"/>
          <w:szCs w:val="28"/>
        </w:rPr>
        <w:t>。</w:t>
      </w:r>
    </w:p>
    <w:p>
      <w:pPr>
        <w:rPr>
          <w:rFonts w:asciiTheme="minorEastAsia" w:hAnsiTheme="minorEastAsia"/>
          <w:b/>
          <w:sz w:val="28"/>
          <w:szCs w:val="28"/>
        </w:rPr>
      </w:pPr>
      <w:r>
        <w:rPr>
          <w:rFonts w:hint="eastAsia" w:asciiTheme="minorEastAsia" w:hAnsiTheme="minorEastAsia"/>
          <w:b/>
          <w:sz w:val="28"/>
          <w:szCs w:val="28"/>
        </w:rPr>
        <w:t>三、薪酬待遇</w:t>
      </w:r>
    </w:p>
    <w:p>
      <w:pPr>
        <w:ind w:firstLine="560" w:firstLineChars="200"/>
        <w:rPr>
          <w:rFonts w:hint="eastAsia"/>
          <w:sz w:val="28"/>
          <w:szCs w:val="28"/>
        </w:rPr>
      </w:pPr>
      <w:r>
        <w:rPr>
          <w:rFonts w:hint="eastAsia"/>
          <w:sz w:val="28"/>
          <w:szCs w:val="28"/>
        </w:rPr>
        <w:t>1.薪资：人事关系转入我校的博士后享受学校正式职工待遇，学校与博士后签订博士后工作协议，按有关规定为博士后缴纳社会保险费。由学校比照相应在职教职工标准确定工资，并提供18万元/年的博士后津贴(税前金额)，以在站期两年计发，每年总额的70％按月发放，30％在出站考核合格后发放。</w:t>
      </w:r>
    </w:p>
    <w:p>
      <w:pPr>
        <w:ind w:firstLine="560" w:firstLineChars="200"/>
        <w:rPr>
          <w:rFonts w:hint="eastAsia"/>
          <w:sz w:val="28"/>
          <w:szCs w:val="28"/>
        </w:rPr>
      </w:pPr>
      <w:r>
        <w:rPr>
          <w:rFonts w:hint="eastAsia"/>
          <w:sz w:val="28"/>
          <w:szCs w:val="28"/>
        </w:rPr>
        <w:t>人事关系不转入我校的博士后的薪资、各类社会保险和住房公积金等相关待遇在原单位享受。学校提供两年的生活津贴，标准为5万元/年，按月平均发放。</w:t>
      </w:r>
    </w:p>
    <w:p>
      <w:pPr>
        <w:ind w:firstLine="560" w:firstLineChars="200"/>
        <w:rPr>
          <w:rFonts w:hint="eastAsia"/>
          <w:sz w:val="28"/>
          <w:szCs w:val="28"/>
        </w:rPr>
      </w:pPr>
      <w:r>
        <w:rPr>
          <w:rFonts w:hint="eastAsia"/>
          <w:sz w:val="28"/>
          <w:szCs w:val="28"/>
        </w:rPr>
        <w:t>对于经审批同意延期出站的博士后研究人员的工资、津贴和社保均由合作导师的科研经费支付。</w:t>
      </w:r>
    </w:p>
    <w:p>
      <w:pPr>
        <w:ind w:firstLine="560" w:firstLineChars="200"/>
        <w:rPr>
          <w:rFonts w:hint="eastAsia"/>
          <w:sz w:val="28"/>
          <w:szCs w:val="28"/>
        </w:rPr>
      </w:pPr>
      <w:r>
        <w:rPr>
          <w:rFonts w:hint="eastAsia"/>
          <w:sz w:val="28"/>
          <w:szCs w:val="28"/>
        </w:rPr>
        <w:t>2.科研启动费：一次性建户发放，仅限在站期间使用。人文社科类5万元，理工科10万元。</w:t>
      </w:r>
    </w:p>
    <w:p>
      <w:pPr>
        <w:ind w:firstLine="560" w:firstLineChars="200"/>
        <w:rPr>
          <w:rFonts w:hint="eastAsia"/>
          <w:sz w:val="28"/>
          <w:szCs w:val="28"/>
        </w:rPr>
      </w:pPr>
      <w:r>
        <w:rPr>
          <w:rFonts w:hint="eastAsia"/>
          <w:sz w:val="28"/>
          <w:szCs w:val="28"/>
        </w:rPr>
        <w:t>3.住房：学校为博士后提供周转住房，可按照学校相关管理办法申请租住。</w:t>
      </w:r>
    </w:p>
    <w:p>
      <w:pPr>
        <w:ind w:firstLine="560" w:firstLineChars="200"/>
        <w:rPr>
          <w:rFonts w:hint="eastAsia"/>
          <w:sz w:val="28"/>
          <w:szCs w:val="28"/>
        </w:rPr>
      </w:pPr>
      <w:r>
        <w:rPr>
          <w:rFonts w:hint="eastAsia"/>
          <w:sz w:val="28"/>
          <w:szCs w:val="28"/>
        </w:rPr>
        <w:t>4.奖励：博士后在站期间以山西师范大学作为唯一署名单位取得的科研成果享受学校职工同等的科研奖励政策。出站时一次性发放。</w:t>
      </w:r>
    </w:p>
    <w:p>
      <w:pPr>
        <w:ind w:firstLine="560" w:firstLineChars="200"/>
        <w:rPr>
          <w:rFonts w:hint="eastAsia"/>
          <w:sz w:val="28"/>
          <w:szCs w:val="28"/>
        </w:rPr>
      </w:pPr>
      <w:r>
        <w:rPr>
          <w:rFonts w:hint="eastAsia"/>
          <w:sz w:val="28"/>
          <w:szCs w:val="28"/>
        </w:rPr>
        <w:t>5.学校为人事关系转入我校的博士后办理落户手续，协助办理配偶及未成年子女随迁入户手续；协助办理子女入托、入学等事宜。博士后退、出站时，户口应同时迁出。</w:t>
      </w:r>
    </w:p>
    <w:p>
      <w:pPr>
        <w:ind w:firstLine="560" w:firstLineChars="200"/>
        <w:rPr>
          <w:sz w:val="28"/>
          <w:szCs w:val="28"/>
        </w:rPr>
      </w:pPr>
      <w:r>
        <w:rPr>
          <w:rFonts w:hint="eastAsia"/>
          <w:sz w:val="28"/>
          <w:szCs w:val="28"/>
        </w:rPr>
        <w:t>6.人事关系转入我校的博士后出站考核优秀者，符合学校招聘政策可申请转为教师，纳入学校事业编制，并享受山西省和学校当年人才引进待遇，博士后在站期间取得的成果可同时作为人才引进待遇评定和职称评定的依据。</w:t>
      </w:r>
    </w:p>
    <w:p>
      <w:pPr>
        <w:rPr>
          <w:rFonts w:asciiTheme="minorEastAsia" w:hAnsiTheme="minorEastAsia"/>
          <w:b/>
          <w:sz w:val="28"/>
          <w:szCs w:val="28"/>
        </w:rPr>
      </w:pPr>
      <w:r>
        <w:rPr>
          <w:rFonts w:hint="eastAsia" w:asciiTheme="minorEastAsia" w:hAnsiTheme="minorEastAsia"/>
          <w:b/>
          <w:sz w:val="28"/>
          <w:szCs w:val="28"/>
        </w:rPr>
        <w:t>四、提供相关材料</w:t>
      </w:r>
    </w:p>
    <w:p>
      <w:pPr>
        <w:ind w:firstLine="560" w:firstLineChars="200"/>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个人简历（包括学习经历、社会实践经历、已发表论文清单</w:t>
      </w:r>
      <w:r>
        <w:rPr>
          <w:rFonts w:hint="eastAsia" w:ascii="宋体" w:hAnsi="宋体"/>
          <w:color w:val="000000"/>
          <w:sz w:val="28"/>
          <w:szCs w:val="28"/>
        </w:rPr>
        <w:t>）；</w:t>
      </w:r>
    </w:p>
    <w:p>
      <w:pPr>
        <w:ind w:left="420" w:leftChars="200" w:firstLine="140" w:firstLineChars="50"/>
        <w:jc w:val="left"/>
        <w:rPr>
          <w:rFonts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学历、学位证书及身份证复印件；</w:t>
      </w:r>
    </w:p>
    <w:p>
      <w:pPr>
        <w:ind w:firstLine="560" w:firstLineChars="200"/>
        <w:jc w:val="left"/>
        <w:rPr>
          <w:rFonts w:ascii="宋体" w:hAnsi="宋体"/>
          <w:color w:val="000000"/>
          <w:sz w:val="28"/>
          <w:szCs w:val="28"/>
        </w:rPr>
      </w:pPr>
      <w:r>
        <w:rPr>
          <w:rFonts w:hint="eastAsia" w:ascii="宋体" w:hAnsi="宋体"/>
          <w:color w:val="000000"/>
          <w:sz w:val="28"/>
          <w:szCs w:val="28"/>
        </w:rPr>
        <w:t>3.</w:t>
      </w:r>
      <w:r>
        <w:rPr>
          <w:rFonts w:ascii="宋体" w:hAnsi="宋体"/>
          <w:color w:val="000000"/>
          <w:sz w:val="28"/>
          <w:szCs w:val="28"/>
        </w:rPr>
        <w:t>能够证明本人能力、水平的文件和材料(如成绩单、发表文章、获奖证书复印件等)。</w:t>
      </w:r>
    </w:p>
    <w:p>
      <w:pPr>
        <w:rPr>
          <w:rFonts w:asciiTheme="minorEastAsia" w:hAnsiTheme="minorEastAsia"/>
          <w:b/>
          <w:sz w:val="28"/>
          <w:szCs w:val="28"/>
        </w:rPr>
      </w:pPr>
      <w:r>
        <w:rPr>
          <w:rFonts w:hint="eastAsia" w:asciiTheme="minorEastAsia" w:hAnsiTheme="minorEastAsia"/>
          <w:b/>
          <w:sz w:val="28"/>
          <w:szCs w:val="28"/>
        </w:rPr>
        <w:t>五、联系方式</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学校管理部门：山西师范大学人事处博士后工作办公室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地址：山西省临汾市尧都区贡院街1号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邮编：041004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联系人：张老师 </w:t>
      </w:r>
    </w:p>
    <w:p>
      <w:pPr>
        <w:ind w:firstLine="560" w:firstLineChars="200"/>
        <w:rPr>
          <w:rFonts w:hint="eastAsia" w:asciiTheme="minorEastAsia" w:hAnsiTheme="minorEastAsia"/>
          <w:sz w:val="28"/>
          <w:szCs w:val="28"/>
        </w:rPr>
      </w:pPr>
      <w:r>
        <w:rPr>
          <w:rFonts w:hint="eastAsia" w:asciiTheme="minorEastAsia" w:hAnsiTheme="minorEastAsia"/>
          <w:sz w:val="28"/>
          <w:szCs w:val="28"/>
        </w:rPr>
        <w:t xml:space="preserve">联系电话：0357-2051610 </w:t>
      </w:r>
    </w:p>
    <w:p>
      <w:pPr>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邮箱：sxnurscszk@163.com</w:t>
      </w:r>
      <w:bookmarkStart w:id="0" w:name="_GoBack"/>
      <w:bookmarkEnd w:id="0"/>
    </w:p>
    <w:p>
      <w:pPr>
        <w:ind w:firstLine="560" w:firstLineChars="200"/>
        <w:rPr>
          <w:rFonts w:asciiTheme="minorEastAsia" w:hAnsiTheme="minorEastAsia"/>
          <w:sz w:val="28"/>
          <w:szCs w:val="28"/>
        </w:rPr>
      </w:pPr>
    </w:p>
    <w:p>
      <w:pPr>
        <w:ind w:firstLine="6020" w:firstLineChars="2150"/>
        <w:rPr>
          <w:rFonts w:ascii="宋体" w:hAnsi="宋体" w:eastAsia="宋体" w:cs="宋体"/>
          <w:kern w:val="0"/>
          <w:sz w:val="18"/>
          <w:szCs w:val="18"/>
        </w:rPr>
      </w:pPr>
      <w:r>
        <w:rPr>
          <w:rFonts w:hint="eastAsia" w:asciiTheme="minorEastAsia" w:hAnsiTheme="minorEastAsia"/>
          <w:sz w:val="28"/>
          <w:szCs w:val="28"/>
        </w:rPr>
        <w:t xml:space="preserve"> </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15"/>
    <w:rsid w:val="00060948"/>
    <w:rsid w:val="00064F42"/>
    <w:rsid w:val="000B3C77"/>
    <w:rsid w:val="001C34E4"/>
    <w:rsid w:val="001E5951"/>
    <w:rsid w:val="0023764D"/>
    <w:rsid w:val="002819A7"/>
    <w:rsid w:val="003252CF"/>
    <w:rsid w:val="0032621B"/>
    <w:rsid w:val="003F2B7D"/>
    <w:rsid w:val="004B278B"/>
    <w:rsid w:val="0051613C"/>
    <w:rsid w:val="00576D60"/>
    <w:rsid w:val="00581507"/>
    <w:rsid w:val="005E6CB6"/>
    <w:rsid w:val="00623759"/>
    <w:rsid w:val="00647463"/>
    <w:rsid w:val="006558A5"/>
    <w:rsid w:val="00663AE4"/>
    <w:rsid w:val="00691974"/>
    <w:rsid w:val="006A2ED6"/>
    <w:rsid w:val="007A6E72"/>
    <w:rsid w:val="007E2690"/>
    <w:rsid w:val="007F44E3"/>
    <w:rsid w:val="00894AFA"/>
    <w:rsid w:val="00897515"/>
    <w:rsid w:val="008C57B2"/>
    <w:rsid w:val="008C67A7"/>
    <w:rsid w:val="008C74AF"/>
    <w:rsid w:val="008E79AD"/>
    <w:rsid w:val="0097240F"/>
    <w:rsid w:val="009956A3"/>
    <w:rsid w:val="009A11E0"/>
    <w:rsid w:val="009A324E"/>
    <w:rsid w:val="009F5C29"/>
    <w:rsid w:val="00C54CE1"/>
    <w:rsid w:val="00C81227"/>
    <w:rsid w:val="00CA7CEE"/>
    <w:rsid w:val="00DB55D6"/>
    <w:rsid w:val="00ED2752"/>
    <w:rsid w:val="00F03D36"/>
    <w:rsid w:val="00F44494"/>
    <w:rsid w:val="00FC1D76"/>
    <w:rsid w:val="00FF5BE1"/>
    <w:rsid w:val="314E0B85"/>
    <w:rsid w:val="40A76958"/>
    <w:rsid w:val="4B273D9A"/>
    <w:rsid w:val="658159BC"/>
    <w:rsid w:val="73CC1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66CC"/>
      <w:u w:val="non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BC89F-556F-4981-9044-CA5A3F95DEA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978</Characters>
  <Lines>8</Lines>
  <Paragraphs>2</Paragraphs>
  <TotalTime>69</TotalTime>
  <ScaleCrop>false</ScaleCrop>
  <LinksUpToDate>false</LinksUpToDate>
  <CharactersWithSpaces>1147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2018-01-25T07:42:00Z</dcterms:created>
  <dc:creator>admin</dc:creator>
  <cp:lastModifiedBy>小西</cp:lastModifiedBy>
  <cp:lastPrinted>2019-06-18T07:46:00Z</cp:lastPrinted>
  <dcterms:modified xsi:type="dcterms:W3CDTF">2020-03-09T07:59:01Z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